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20" w:after="120"/>
        <w:rPr>
          <w:rFonts w:ascii="Times New Roman" w:hAnsi="Times New Roman"/>
          <w:b/>
          <w:sz w:val="28"/>
          <w:szCs w:val="24"/>
        </w:rPr>
      </w:pPr>
      <w:r>
        <w:rPr>
          <w:rFonts w:ascii="Times New Roman" w:hAnsi="Times New Roman"/>
          <w:b/>
          <w:sz w:val="28"/>
          <w:szCs w:val="24"/>
        </w:rPr>
        <w:t xml:space="preserve"> </w:t>
      </w:r>
      <w:r>
        <w:rPr>
          <w:rFonts w:ascii="Times New Roman" w:hAnsi="Times New Roman"/>
          <w:b/>
          <w:sz w:val="28"/>
          <w:szCs w:val="24"/>
        </w:rPr>
        <w:t>Quasi-linear versus potential-based formulations of force-flux relations and the GENERIC for irreversible processes: Comparisons and examples</w:t>
      </w:r>
    </w:p>
    <w:p>
      <w:pPr>
        <w:pStyle w:val="Normal"/>
        <w:jc w:val="center"/>
        <w:rPr>
          <w:rFonts w:ascii="Times New Roman" w:hAnsi="Times New Roman"/>
          <w:sz w:val="24"/>
          <w:szCs w:val="24"/>
        </w:rPr>
      </w:pPr>
      <w:r>
        <w:rPr>
          <w:rFonts w:ascii="Times New Roman" w:hAnsi="Times New Roman"/>
          <w:sz w:val="24"/>
          <w:szCs w:val="24"/>
          <w:u w:val="single"/>
        </w:rPr>
        <w:t>M. Hütter,</w:t>
      </w:r>
      <w:r>
        <w:rPr>
          <w:rFonts w:ascii="Times New Roman" w:hAnsi="Times New Roman"/>
          <w:sz w:val="24"/>
          <w:szCs w:val="24"/>
          <w:vertAlign w:val="superscript"/>
        </w:rPr>
        <w:t>(1)</w:t>
      </w:r>
      <w:r>
        <w:rPr>
          <w:rFonts w:ascii="Times New Roman" w:hAnsi="Times New Roman"/>
          <w:sz w:val="24"/>
          <w:szCs w:val="24"/>
        </w:rPr>
        <w:t xml:space="preserve"> B. Svendsen</w:t>
      </w:r>
      <w:r>
        <w:rPr>
          <w:rFonts w:ascii="Times New Roman" w:hAnsi="Times New Roman"/>
          <w:sz w:val="24"/>
          <w:szCs w:val="24"/>
          <w:vertAlign w:val="superscript"/>
        </w:rPr>
        <w:t>(2)</w:t>
      </w:r>
    </w:p>
    <w:p>
      <w:pPr>
        <w:pStyle w:val="Normal"/>
        <w:spacing w:before="0" w:after="120"/>
        <w:ind w:hanging="340" w:left="794"/>
        <w:rPr>
          <w:rFonts w:ascii="Times New Roman" w:hAnsi="Times New Roman"/>
          <w:sz w:val="20"/>
          <w:szCs w:val="24"/>
        </w:rPr>
      </w:pPr>
      <w:r>
        <w:rPr>
          <w:rFonts w:ascii="Times New Roman" w:hAnsi="Times New Roman"/>
          <w:sz w:val="20"/>
          <w:szCs w:val="24"/>
          <w:vertAlign w:val="superscript"/>
        </w:rPr>
        <w:t>(1)</w:t>
      </w:r>
      <w:r>
        <w:rPr>
          <w:rFonts w:ascii="Times New Roman" w:hAnsi="Times New Roman"/>
          <w:sz w:val="20"/>
          <w:szCs w:val="24"/>
        </w:rPr>
        <w:tab/>
        <w:t xml:space="preserve">Eindhoven University of Technology, Polymer Technology, The Netherlands.  Email: m.huetter@tue.nl </w:t>
      </w:r>
    </w:p>
    <w:p>
      <w:pPr>
        <w:pStyle w:val="Normal"/>
        <w:ind w:hanging="340" w:left="794"/>
        <w:rPr>
          <w:rFonts w:ascii="Times New Roman" w:hAnsi="Times New Roman"/>
          <w:sz w:val="20"/>
          <w:szCs w:val="24"/>
        </w:rPr>
      </w:pPr>
      <w:r>
        <w:rPr>
          <w:rFonts w:ascii="Times New Roman" w:hAnsi="Times New Roman"/>
          <w:sz w:val="20"/>
          <w:szCs w:val="24"/>
          <w:vertAlign w:val="superscript"/>
        </w:rPr>
        <w:t>(2)</w:t>
      </w:r>
      <w:r>
        <w:rPr>
          <w:rFonts w:ascii="Times New Roman" w:hAnsi="Times New Roman"/>
          <w:sz w:val="20"/>
          <w:szCs w:val="24"/>
        </w:rPr>
        <w:tab/>
        <w:t>RWTH Aachen, JARA, Material Mechanics, Germany.  Email: bob.svendsen@rwth-aachen.de</w:t>
      </w:r>
    </w:p>
    <w:p>
      <w:pPr>
        <w:pStyle w:val="Normal"/>
        <w:spacing w:lineRule="exact" w:line="320"/>
        <w:jc w:val="both"/>
        <w:rPr>
          <w:rFonts w:ascii="Times New Roman" w:hAnsi="Times New Roman"/>
          <w:b/>
          <w:sz w:val="24"/>
          <w:szCs w:val="24"/>
        </w:rPr>
      </w:pPr>
      <w:r>
        <w:rPr>
          <w:rFonts w:ascii="Times New Roman" w:hAnsi="Times New Roman"/>
          <w:b/>
          <w:sz w:val="24"/>
          <w:szCs w:val="24"/>
        </w:rPr>
        <w:t xml:space="preserve">Abstract: </w:t>
      </w:r>
      <w:r>
        <w:rPr>
          <w:rFonts w:ascii="Times New Roman" w:hAnsi="Times New Roman"/>
          <w:sz w:val="24"/>
          <w:szCs w:val="24"/>
        </w:rPr>
        <w:t xml:space="preserve">An essential part in modeling out-of-equilibrium dynamics is the formulation of irreversible dynamics. In the latter, the major task consists in specifying the relations between thermodynamic forces and fluxes. In the literature, mainly two distinct approaches are used for the specification of force-flux relations.  On the one hand, quasi-linear relations are employed, which are based on the physics of transport processes and fluctuation-dissipation theorems [1,2]. On the other hand, force-flux relations are also often represented in potential form with the help of a dissipation potential [3]. We address the question of how these two approaches are related. </w:t>
      </w:r>
    </w:p>
    <w:p>
      <w:pPr>
        <w:pStyle w:val="Normal"/>
        <w:spacing w:lineRule="exact" w:line="320"/>
        <w:jc w:val="both"/>
        <w:rPr>
          <w:rFonts w:ascii="Times New Roman" w:hAnsi="Times New Roman"/>
          <w:sz w:val="24"/>
          <w:szCs w:val="24"/>
        </w:rPr>
      </w:pPr>
      <w:r>
        <w:rPr>
          <w:rFonts w:ascii="Times New Roman" w:hAnsi="Times New Roman"/>
          <w:sz w:val="24"/>
          <w:szCs w:val="24"/>
        </w:rPr>
        <w:t>The main result of this presentation states that the class of models formulated by quasi-linear relations is larger than what can be described in a potential-based formulation. While the relation between the two methods is shown in general terms, it is demonstrated also with the help of three examples: (i) heat conduction in rigid bodies, (ii) homogeneous chemical reactions, and (iii) slippage in complex fluids. In particular, whereas the irreversible processes (i) and (ii) are dissipative, (iii) is not. Consequently, conditions for the existence of a dissipation potential for the models of (i) and (ii) can be formulated. On the other hand, the potential for the model of (iii) is identically zero. More generally, this is the case for the model of any irreversible process which results in no dissipation. Finally, the ramifications of these results on the General Equation for the Non-Equilibrium Reversible-Irreversible Coupling (GENERIC: e.g., [4-8]) are discussed.</w:t>
      </w:r>
    </w:p>
    <w:p>
      <w:pPr>
        <w:pStyle w:val="Normal"/>
        <w:spacing w:lineRule="exact" w:line="320"/>
        <w:jc w:val="both"/>
        <w:rPr>
          <w:rFonts w:ascii="Times New Roman" w:hAnsi="Times New Roman"/>
          <w:sz w:val="24"/>
          <w:szCs w:val="24"/>
        </w:rPr>
      </w:pPr>
      <w:r>
        <w:rPr>
          <w:rFonts w:ascii="Times New Roman" w:hAnsi="Times New Roman"/>
          <w:b/>
          <w:bCs/>
          <w:sz w:val="24"/>
          <w:szCs w:val="24"/>
        </w:rPr>
        <w:t xml:space="preserve">Acknowledgement: </w:t>
      </w:r>
      <w:r>
        <w:rPr>
          <w:rFonts w:ascii="Times New Roman" w:hAnsi="Times New Roman"/>
          <w:sz w:val="24"/>
          <w:szCs w:val="24"/>
        </w:rPr>
        <w:t>MH gratefully acknowledges financial support from the High Potential Research Program at the Eindhoven University of Technology entitled “Multiscale Analysis of Intrinsic Properties of Polymer Systems”.</w:t>
      </w:r>
    </w:p>
    <w:p>
      <w:pPr>
        <w:pStyle w:val="Normal"/>
        <w:spacing w:lineRule="exact" w:line="320" w:before="0" w:after="0"/>
        <w:jc w:val="both"/>
        <w:rPr>
          <w:rFonts w:ascii="Times New Roman" w:hAnsi="Times New Roman"/>
          <w:b/>
          <w:sz w:val="24"/>
          <w:szCs w:val="24"/>
          <w:lang w:val="nl-NL"/>
        </w:rPr>
      </w:pPr>
      <w:r>
        <w:rPr>
          <w:rFonts w:ascii="Times New Roman" w:hAnsi="Times New Roman"/>
          <w:b/>
          <w:sz w:val="24"/>
          <w:szCs w:val="24"/>
          <w:lang w:val="nl-NL"/>
        </w:rPr>
        <w:t>References:</w:t>
      </w:r>
    </w:p>
    <w:p>
      <w:pPr>
        <w:pStyle w:val="Normal"/>
        <w:spacing w:lineRule="auto" w:line="240" w:before="0" w:after="0"/>
        <w:ind w:hanging="709" w:left="709"/>
        <w:rPr>
          <w:rFonts w:ascii="Times New Roman" w:hAnsi="Times New Roman"/>
          <w:sz w:val="24"/>
          <w:szCs w:val="24"/>
        </w:rPr>
      </w:pPr>
      <w:r>
        <w:rPr>
          <w:rFonts w:ascii="Times New Roman" w:hAnsi="Times New Roman"/>
          <w:sz w:val="24"/>
          <w:szCs w:val="24"/>
          <w:lang w:val="fr-CH"/>
        </w:rPr>
        <w:t>[1]</w:t>
        <w:tab/>
        <w:t xml:space="preserve">de Groot, S. R., Mazur, P., 1962. </w:t>
      </w:r>
      <w:r>
        <w:rPr>
          <w:rFonts w:ascii="Times New Roman" w:hAnsi="Times New Roman"/>
          <w:sz w:val="24"/>
          <w:szCs w:val="24"/>
        </w:rPr>
        <w:t>Non-equilibrium Thermodynamics. North-Holland.</w:t>
      </w:r>
    </w:p>
    <w:p>
      <w:pPr>
        <w:pStyle w:val="Normal"/>
        <w:spacing w:lineRule="auto" w:line="240" w:before="0" w:after="0"/>
        <w:ind w:hanging="709" w:left="709"/>
        <w:rPr>
          <w:rFonts w:ascii="Times New Roman" w:hAnsi="Times New Roman"/>
          <w:sz w:val="24"/>
          <w:szCs w:val="24"/>
        </w:rPr>
      </w:pPr>
      <w:r>
        <w:rPr>
          <w:rFonts w:ascii="Times New Roman" w:hAnsi="Times New Roman"/>
          <w:sz w:val="24"/>
          <w:szCs w:val="24"/>
        </w:rPr>
        <w:t>[2]</w:t>
        <w:tab/>
        <w:t>Lifshitz, E. M., Pitaevskii, L. P., 1981. Physical Kinetics. Vol. 10, Landau and Lifshitz Series on Theoretical Physics. Pergamon Press.</w:t>
      </w:r>
    </w:p>
    <w:p>
      <w:pPr>
        <w:pStyle w:val="Normal"/>
        <w:spacing w:lineRule="auto" w:line="240" w:before="0" w:after="0"/>
        <w:ind w:hanging="709" w:left="709"/>
        <w:rPr>
          <w:rFonts w:ascii="Times New Roman" w:hAnsi="Times New Roman"/>
          <w:sz w:val="24"/>
          <w:szCs w:val="24"/>
          <w:lang w:val="de-DE"/>
        </w:rPr>
      </w:pPr>
      <w:r>
        <w:rPr>
          <w:rFonts w:ascii="Times New Roman" w:hAnsi="Times New Roman"/>
          <w:sz w:val="24"/>
          <w:szCs w:val="24"/>
        </w:rPr>
        <w:t>[3]</w:t>
        <w:tab/>
        <w:t xml:space="preserve">Šilhavý, M., 1997. The Mechanics and Thermodynamics of Continuous Media. </w:t>
      </w:r>
      <w:r>
        <w:rPr>
          <w:rFonts w:ascii="Times New Roman" w:hAnsi="Times New Roman"/>
          <w:sz w:val="24"/>
          <w:szCs w:val="24"/>
          <w:lang w:val="de-DE"/>
        </w:rPr>
        <w:t>Springer.</w:t>
      </w:r>
    </w:p>
    <w:p>
      <w:pPr>
        <w:pStyle w:val="Normal"/>
        <w:spacing w:lineRule="auto" w:line="240" w:before="0" w:after="0"/>
        <w:ind w:hanging="709" w:left="709"/>
        <w:rPr>
          <w:rFonts w:ascii="Times New Roman" w:hAnsi="Times New Roman"/>
          <w:sz w:val="24"/>
          <w:szCs w:val="24"/>
          <w:lang w:val="de-DE"/>
        </w:rPr>
      </w:pPr>
      <w:r>
        <w:rPr>
          <w:rFonts w:ascii="Times New Roman" w:hAnsi="Times New Roman"/>
          <w:sz w:val="24"/>
          <w:szCs w:val="24"/>
          <w:lang w:val="de-DE"/>
        </w:rPr>
        <w:t>[4]</w:t>
        <w:tab/>
        <w:t>Grmela, M., Öttinger, H. C., 1997. Phys. Rev. E, 56, 6620–6632.</w:t>
      </w:r>
    </w:p>
    <w:p>
      <w:pPr>
        <w:pStyle w:val="Normal"/>
        <w:spacing w:lineRule="auto" w:line="240" w:before="0" w:after="0"/>
        <w:ind w:hanging="709" w:left="709"/>
        <w:rPr>
          <w:rFonts w:ascii="Times New Roman" w:hAnsi="Times New Roman"/>
          <w:sz w:val="24"/>
          <w:szCs w:val="24"/>
          <w:lang w:val="de-DE"/>
        </w:rPr>
      </w:pPr>
      <w:r>
        <w:rPr>
          <w:rFonts w:ascii="Times New Roman" w:hAnsi="Times New Roman"/>
          <w:sz w:val="24"/>
          <w:szCs w:val="24"/>
          <w:lang w:val="de-DE"/>
        </w:rPr>
        <w:t>[5]</w:t>
        <w:tab/>
        <w:t>Öttinger, H. C., Grmela, M., 1997. Phys. Rev. E, 56, 6633–6655.</w:t>
      </w:r>
    </w:p>
    <w:p>
      <w:pPr>
        <w:pStyle w:val="Normal"/>
        <w:spacing w:lineRule="auto" w:line="240" w:before="0" w:after="0"/>
        <w:ind w:hanging="709" w:left="709"/>
        <w:rPr>
          <w:rFonts w:ascii="Times New Roman" w:hAnsi="Times New Roman"/>
          <w:sz w:val="24"/>
          <w:szCs w:val="24"/>
        </w:rPr>
      </w:pPr>
      <w:r>
        <w:rPr>
          <w:rFonts w:ascii="Times New Roman" w:hAnsi="Times New Roman"/>
          <w:sz w:val="24"/>
          <w:szCs w:val="24"/>
          <w:lang w:val="de-DE"/>
        </w:rPr>
        <w:t>[6]</w:t>
        <w:tab/>
        <w:t xml:space="preserve">Öttinger, H. C., 2005. </w:t>
      </w:r>
      <w:r>
        <w:rPr>
          <w:rFonts w:ascii="Times New Roman" w:hAnsi="Times New Roman"/>
          <w:sz w:val="24"/>
          <w:szCs w:val="24"/>
        </w:rPr>
        <w:t>Beyond Equilibrium Thermodynamics. Wiley Interscience.</w:t>
      </w:r>
    </w:p>
    <w:p>
      <w:pPr>
        <w:pStyle w:val="Normal"/>
        <w:spacing w:lineRule="auto" w:line="240" w:before="0" w:after="0"/>
        <w:ind w:hanging="709" w:left="709"/>
        <w:rPr>
          <w:rFonts w:ascii="Times New Roman" w:hAnsi="Times New Roman"/>
          <w:sz w:val="24"/>
          <w:szCs w:val="24"/>
          <w:lang w:val="nl-NL"/>
        </w:rPr>
      </w:pPr>
      <w:r>
        <w:rPr>
          <w:rFonts w:ascii="Times New Roman" w:hAnsi="Times New Roman"/>
          <w:sz w:val="24"/>
          <w:szCs w:val="24"/>
          <w:lang w:val="nl-NL"/>
        </w:rPr>
        <w:t>[7]</w:t>
        <w:tab/>
        <w:t>Grmela, M., 2010. Adv. Chem. Engin., 39, 75–129.</w:t>
      </w:r>
    </w:p>
    <w:p>
      <w:pPr>
        <w:pStyle w:val="Normal"/>
        <w:spacing w:lineRule="auto" w:line="240" w:before="0" w:after="0"/>
        <w:ind w:hanging="709" w:left="709"/>
        <w:rPr>
          <w:rFonts w:ascii="Times New Roman" w:hAnsi="Times New Roman"/>
          <w:sz w:val="24"/>
          <w:szCs w:val="24"/>
        </w:rPr>
      </w:pPr>
      <w:r>
        <w:rPr>
          <w:rFonts w:ascii="Times New Roman" w:hAnsi="Times New Roman"/>
          <w:sz w:val="24"/>
          <w:szCs w:val="24"/>
          <w:lang w:val="nl-NL"/>
        </w:rPr>
        <w:t>[8]</w:t>
        <w:tab/>
        <w:t xml:space="preserve">Grmela, M., 2010. </w:t>
      </w:r>
      <w:r>
        <w:rPr>
          <w:rFonts w:ascii="Times New Roman" w:hAnsi="Times New Roman"/>
          <w:sz w:val="24"/>
          <w:szCs w:val="24"/>
        </w:rPr>
        <w:t>J. Non-Newtonian Fluid Mech., 165, 980–986.</w:t>
      </w:r>
    </w:p>
    <w:p>
      <w:pPr>
        <w:pStyle w:val="Normal"/>
        <w:spacing w:lineRule="auto" w:line="240" w:before="0" w:after="0"/>
        <w:ind w:hanging="709" w:left="709"/>
        <w:rPr>
          <w:rFonts w:ascii="Times New Roman" w:hAnsi="Times New Roman"/>
          <w:sz w:val="24"/>
          <w:szCs w:val="24"/>
        </w:rPr>
      </w:pPr>
      <w:r>
        <w:rPr>
          <w:rFonts w:ascii="Times New Roman" w:hAnsi="Times New Roman"/>
          <w:sz w:val="24"/>
          <w:szCs w:val="24"/>
        </w:rPr>
      </w:r>
      <w:r>
        <w:br w:type="page"/>
      </w:r>
    </w:p>
    <w:p>
      <w:pPr>
        <w:pStyle w:val="Normal"/>
        <w:spacing w:before="0" w:after="120"/>
        <w:rPr>
          <w:rFonts w:ascii="Times New Roman" w:hAnsi="Times New Roman"/>
          <w:b/>
          <w:sz w:val="24"/>
          <w:szCs w:val="24"/>
        </w:rPr>
      </w:pPr>
      <w:r>
        <w:rPr>
          <w:rFonts w:ascii="Times New Roman" w:hAnsi="Times New Roman"/>
          <w:b/>
          <w:sz w:val="24"/>
          <w:szCs w:val="24"/>
        </w:rPr>
        <w:t>Procedure:</w:t>
      </w:r>
    </w:p>
    <w:p>
      <w:pPr>
        <w:pStyle w:val="Normal"/>
        <w:spacing w:lineRule="auto" w:line="240" w:before="120" w:after="120"/>
        <w:jc w:val="both"/>
        <w:rPr>
          <w:rFonts w:ascii="Times New Roman" w:hAnsi="Times New Roman"/>
          <w:sz w:val="24"/>
          <w:szCs w:val="24"/>
        </w:rPr>
      </w:pPr>
      <w:r>
        <w:rPr>
          <w:rFonts w:ascii="Times New Roman" w:hAnsi="Times New Roman"/>
          <w:sz w:val="24"/>
          <w:szCs w:val="24"/>
        </w:rPr>
        <w:t xml:space="preserve">Authors wishing to contribute to IWNET 2025 are invited to submit a </w:t>
      </w:r>
      <w:r>
        <w:rPr>
          <w:rFonts w:ascii="Times New Roman" w:hAnsi="Times New Roman"/>
          <w:b/>
          <w:i/>
          <w:sz w:val="24"/>
          <w:szCs w:val="24"/>
        </w:rPr>
        <w:t>one-page abstract</w:t>
      </w:r>
      <w:r>
        <w:rPr>
          <w:rFonts w:ascii="Times New Roman" w:hAnsi="Times New Roman"/>
          <w:sz w:val="24"/>
          <w:szCs w:val="24"/>
        </w:rPr>
        <w:t xml:space="preserve"> (using the template</w:t>
      </w:r>
      <w:r>
        <w:rPr>
          <w:rFonts w:ascii="Times New Roman" w:hAnsi="Times New Roman"/>
          <w:sz w:val="24"/>
          <w:szCs w:val="24"/>
          <w:lang w:val="el-GR"/>
        </w:rPr>
        <w:t>,</w:t>
      </w:r>
      <w:r>
        <w:rPr>
          <w:rFonts w:ascii="Times New Roman" w:hAnsi="Times New Roman"/>
          <w:sz w:val="24"/>
          <w:szCs w:val="24"/>
        </w:rPr>
        <w:t xml:space="preserve"> see previous page) through </w:t>
      </w:r>
      <w:hyperlink r:id="rId2">
        <w:r>
          <w:rPr>
            <w:rStyle w:val="Hyperlink"/>
            <w:rFonts w:ascii="Times New Roman" w:hAnsi="Times New Roman"/>
            <w:sz w:val="24"/>
            <w:szCs w:val="24"/>
          </w:rPr>
          <w:t>https://mathweb.aegean.gr/iwnet2025/abstract.php</w:t>
        </w:r>
      </w:hyperlink>
      <w:r>
        <w:rPr>
          <w:rFonts w:ascii="Times New Roman" w:hAnsi="Times New Roman"/>
          <w:sz w:val="24"/>
          <w:szCs w:val="24"/>
        </w:rPr>
        <w:t xml:space="preserve"> or by email to </w:t>
      </w:r>
      <w:hyperlink r:id="rId3">
        <w:r>
          <w:rPr>
            <w:rStyle w:val="Hyperlink"/>
            <w:rFonts w:ascii="Times New Roman" w:hAnsi="Times New Roman"/>
            <w:sz w:val="24"/>
            <w:szCs w:val="24"/>
          </w:rPr>
          <w:t>iwnet2025@aegean.gr</w:t>
        </w:r>
      </w:hyperlink>
      <w:r>
        <w:rPr>
          <w:rFonts w:ascii="Times New Roman" w:hAnsi="Times New Roman"/>
          <w:sz w:val="24"/>
          <w:szCs w:val="24"/>
        </w:rPr>
        <w:t xml:space="preserve"> by </w:t>
      </w:r>
      <w:r>
        <w:rPr>
          <w:rFonts w:ascii="Times New Roman" w:hAnsi="Times New Roman"/>
          <w:b/>
          <w:sz w:val="24"/>
          <w:szCs w:val="24"/>
        </w:rPr>
        <w:t>February 28, 2025</w:t>
      </w:r>
      <w:r>
        <w:rPr>
          <w:rFonts w:ascii="Times New Roman" w:hAnsi="Times New Roman"/>
          <w:sz w:val="24"/>
          <w:szCs w:val="24"/>
        </w:rPr>
        <w:t xml:space="preserve">. The authors will receive notification of acceptance or not of their proposed contribution by </w:t>
      </w:r>
      <w:r>
        <w:rPr>
          <w:rFonts w:ascii="Times New Roman" w:hAnsi="Times New Roman"/>
          <w:b/>
          <w:bCs/>
          <w:sz w:val="24"/>
          <w:szCs w:val="24"/>
        </w:rPr>
        <w:t>March 15, 2025</w:t>
      </w:r>
      <w:r>
        <w:rPr>
          <w:rFonts w:ascii="Times New Roman" w:hAnsi="Times New Roman"/>
          <w:sz w:val="24"/>
          <w:szCs w:val="24"/>
        </w:rPr>
        <w:t xml:space="preserve"> (oral and poster). </w:t>
      </w:r>
    </w:p>
    <w:p>
      <w:pPr>
        <w:pStyle w:val="Normal"/>
        <w:spacing w:before="120" w:after="120"/>
        <w:rPr>
          <w:rFonts w:ascii="Times New Roman" w:hAnsi="Times New Roman"/>
          <w:sz w:val="24"/>
          <w:szCs w:val="24"/>
        </w:rPr>
      </w:pPr>
      <w:r>
        <w:rPr>
          <w:rFonts w:ascii="Times New Roman" w:hAnsi="Times New Roman"/>
          <w:sz w:val="24"/>
          <w:szCs w:val="24"/>
        </w:rPr>
      </w:r>
    </w:p>
    <w:p>
      <w:pPr>
        <w:pStyle w:val="Normal"/>
        <w:spacing w:before="120" w:after="120"/>
        <w:rPr>
          <w:rFonts w:ascii="Times New Roman" w:hAnsi="Times New Roman"/>
          <w:b/>
          <w:sz w:val="24"/>
          <w:szCs w:val="24"/>
        </w:rPr>
      </w:pPr>
      <w:r>
        <w:rPr>
          <w:rFonts w:ascii="Times New Roman" w:hAnsi="Times New Roman"/>
          <w:b/>
          <w:sz w:val="24"/>
          <w:szCs w:val="24"/>
        </w:rPr>
        <w:t>Instructions:</w:t>
      </w:r>
    </w:p>
    <w:p>
      <w:pPr>
        <w:pStyle w:val="Normal"/>
        <w:spacing w:lineRule="auto" w:line="240" w:before="0" w:after="0"/>
        <w:rPr>
          <w:rFonts w:ascii="Times New Roman" w:hAnsi="Times New Roman"/>
          <w:sz w:val="24"/>
          <w:szCs w:val="24"/>
        </w:rPr>
      </w:pPr>
      <w:r>
        <w:rPr>
          <w:rFonts w:ascii="Times New Roman" w:hAnsi="Times New Roman"/>
          <w:sz w:val="24"/>
          <w:szCs w:val="24"/>
        </w:rPr>
        <w:t>Please adhere to the formatting of the template (previous page). Note that the abstract must not exceed 1 single page in total, including title, author names (“presenting author” must be underlined) with affiliations, abstract, acknowledgement, and references.</w:t>
      </w:r>
    </w:p>
    <w:p>
      <w:pPr>
        <w:pStyle w:val="Normal"/>
        <w:spacing w:before="120" w:after="120"/>
        <w:rPr>
          <w:rFonts w:ascii="Times New Roman" w:hAnsi="Times New Roman"/>
          <w:sz w:val="24"/>
          <w:szCs w:val="24"/>
        </w:rPr>
      </w:pPr>
      <w:r>
        <w:rPr>
          <w:rFonts w:ascii="Times New Roman" w:hAnsi="Times New Roman"/>
          <w:sz w:val="24"/>
          <w:szCs w:val="24"/>
        </w:rPr>
      </w:r>
    </w:p>
    <w:p>
      <w:pPr>
        <w:pStyle w:val="Normal"/>
        <w:spacing w:before="120" w:after="120"/>
        <w:rPr>
          <w:rFonts w:ascii="Times New Roman" w:hAnsi="Times New Roman"/>
          <w:sz w:val="24"/>
          <w:szCs w:val="24"/>
        </w:rPr>
      </w:pPr>
      <w:r>
        <w:rPr>
          <w:rFonts w:ascii="Times New Roman" w:hAnsi="Times New Roman"/>
          <w:b/>
          <w:sz w:val="24"/>
          <w:szCs w:val="24"/>
        </w:rPr>
        <w:t>Select preferred presentation style</w:t>
      </w:r>
      <w:r>
        <w:rPr>
          <w:rFonts w:ascii="Times New Roman" w:hAnsi="Times New Roman"/>
          <w:sz w:val="24"/>
          <w:szCs w:val="24"/>
        </w:rPr>
        <w:t xml:space="preserve"> (please indicate preference by putting “X”):</w:t>
      </w:r>
    </w:p>
    <w:p>
      <w:pPr>
        <w:pStyle w:val="Normal"/>
        <w:spacing w:before="120" w:after="120"/>
        <w:rPr>
          <w:rFonts w:ascii="Times New Roman" w:hAnsi="Times New Roman"/>
          <w:sz w:val="24"/>
          <w:szCs w:val="24"/>
        </w:rPr>
      </w:pPr>
      <w:r>
        <w:rPr>
          <w:rFonts w:ascii="Times New Roman" w:hAnsi="Times New Roman"/>
          <w:sz w:val="24"/>
          <w:szCs w:val="24"/>
        </w:rPr>
        <w:t>Oral</w:t>
        <w:tab/>
        <w:t>[  ]</w:t>
        <w:tab/>
        <w:tab/>
        <w:tab/>
        <w:t>Poster</w:t>
        <w:tab/>
        <w:t>[  ]</w:t>
      </w:r>
    </w:p>
    <w:p>
      <w:pPr>
        <w:pStyle w:val="Normal"/>
        <w:spacing w:before="120" w:after="120"/>
        <w:rPr>
          <w:rFonts w:ascii="Times New Roman" w:hAnsi="Times New Roman"/>
          <w:sz w:val="24"/>
          <w:szCs w:val="24"/>
        </w:rPr>
      </w:pPr>
      <w:r>
        <w:rPr>
          <w:rFonts w:ascii="Times New Roman" w:hAnsi="Times New Roman"/>
          <w:sz w:val="24"/>
          <w:szCs w:val="24"/>
        </w:rPr>
      </w:r>
    </w:p>
    <w:p>
      <w:pPr>
        <w:pStyle w:val="Normal"/>
        <w:spacing w:before="120" w:after="120"/>
        <w:rPr>
          <w:rFonts w:ascii="Times New Roman" w:hAnsi="Times New Roman"/>
          <w:b/>
          <w:sz w:val="24"/>
          <w:szCs w:val="24"/>
        </w:rPr>
      </w:pPr>
      <w:r>
        <w:rPr>
          <w:rFonts w:ascii="Times New Roman" w:hAnsi="Times New Roman"/>
          <w:b/>
          <w:sz w:val="24"/>
          <w:szCs w:val="24"/>
        </w:rPr>
        <w:t>File name:</w:t>
      </w:r>
    </w:p>
    <w:p>
      <w:pPr>
        <w:pStyle w:val="Normal"/>
        <w:spacing w:before="120" w:after="120"/>
        <w:rPr>
          <w:rFonts w:ascii="Times New Roman" w:hAnsi="Times New Roman"/>
          <w:sz w:val="24"/>
          <w:szCs w:val="24"/>
        </w:rPr>
      </w:pPr>
      <w:r>
        <w:rPr>
          <w:rFonts w:ascii="Times New Roman" w:hAnsi="Times New Roman"/>
          <w:sz w:val="24"/>
          <w:szCs w:val="24"/>
        </w:rPr>
        <w:t>Please name your abstract file according to the following scheme:</w:t>
      </w:r>
    </w:p>
    <w:p>
      <w:pPr>
        <w:pStyle w:val="Normal"/>
        <w:spacing w:before="120" w:after="120"/>
        <w:rPr>
          <w:rFonts w:ascii="Times New Roman" w:hAnsi="Times New Roman"/>
          <w:sz w:val="24"/>
          <w:szCs w:val="24"/>
        </w:rPr>
      </w:pPr>
      <w:r>
        <w:rPr>
          <w:rFonts w:ascii="Times New Roman" w:hAnsi="Times New Roman"/>
          <w:sz w:val="24"/>
          <w:szCs w:val="24"/>
        </w:rPr>
        <w:t>[last name of presenting author].docx</w:t>
      </w:r>
    </w:p>
    <w:p>
      <w:pPr>
        <w:pStyle w:val="Normal"/>
        <w:spacing w:before="120" w:after="120"/>
        <w:rPr>
          <w:rFonts w:ascii="Times New Roman" w:hAnsi="Times New Roman"/>
          <w:sz w:val="24"/>
          <w:szCs w:val="24"/>
        </w:rPr>
      </w:pPr>
      <w:r>
        <w:rPr>
          <w:rFonts w:ascii="Times New Roman" w:hAnsi="Times New Roman"/>
          <w:sz w:val="24"/>
          <w:szCs w:val="24"/>
        </w:rPr>
        <w:t>For example: Hutter.docx</w:t>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440" w:right="1440" w:gutter="0" w:header="708"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680"/>
        <w:tab w:val="right" w:pos="9360" w:leader="none"/>
      </w:tabs>
      <w:spacing w:before="0" w:after="200"/>
      <w:rPr>
        <w:rFonts w:ascii="Times New Roman" w:hAnsi="Times New Roman"/>
        <w:sz w:val="20"/>
        <w:szCs w:val="20"/>
      </w:rPr>
    </w:pPr>
    <w:r>
      <w:rPr>
        <w:rFonts w:ascii="Times New Roman" w:hAnsi="Times New Roman"/>
        <w:sz w:val="20"/>
        <w:szCs w:val="20"/>
      </w:rPr>
      <w:t>IWNET 2025, Syros, Greece (June 08-11, 2025)</w:t>
      <w:tab/>
    </w:r>
    <w:r>
      <w:rPr>
        <w:rFonts w:ascii="Times New Roman" w:hAnsi="Times New Roman"/>
        <w:sz w:val="20"/>
        <w:szCs w:val="20"/>
      </w:rPr>
      <w:fldChar w:fldCharType="begin"/>
    </w:r>
    <w:r>
      <w:rPr>
        <w:sz w:val="20"/>
        <w:szCs w:val="20"/>
        <w:rFonts w:ascii="Times New Roman" w:hAnsi="Times New Roman"/>
      </w:rPr>
      <w:instrText xml:space="preserve"> PAGE </w:instrText>
    </w:r>
    <w:r>
      <w:rPr>
        <w:sz w:val="20"/>
        <w:szCs w:val="20"/>
        <w:rFonts w:ascii="Times New Roman" w:hAnsi="Times New Roman"/>
      </w:rPr>
      <w:fldChar w:fldCharType="separate"/>
    </w:r>
    <w:r>
      <w:rPr>
        <w:sz w:val="20"/>
        <w:szCs w:val="20"/>
        <w:rFonts w:ascii="Times New Roman" w:hAnsi="Times New Roman"/>
      </w:rPr>
      <w:t>2</w:t>
    </w:r>
    <w:r>
      <w:rPr>
        <w:sz w:val="20"/>
        <w:szCs w:val="20"/>
        <w:rFonts w:ascii="Times New Roman" w:hAnsi="Times New Roman"/>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680"/>
        <w:tab w:val="right" w:pos="9360" w:leader="none"/>
      </w:tabs>
      <w:spacing w:before="0" w:after="200"/>
      <w:rPr>
        <w:rFonts w:ascii="Times New Roman" w:hAnsi="Times New Roman"/>
        <w:sz w:val="20"/>
        <w:szCs w:val="20"/>
      </w:rPr>
    </w:pPr>
    <w:r>
      <w:rPr>
        <w:rFonts w:ascii="Times New Roman" w:hAnsi="Times New Roman"/>
        <w:sz w:val="20"/>
        <w:szCs w:val="20"/>
      </w:rPr>
      <w:t>IWNET 2025, Syros, Greece (June 08-11, 2025)</w:t>
      <w:tab/>
    </w:r>
    <w:r>
      <w:rPr>
        <w:rFonts w:ascii="Times New Roman" w:hAnsi="Times New Roman"/>
        <w:sz w:val="20"/>
        <w:szCs w:val="20"/>
      </w:rPr>
      <w:fldChar w:fldCharType="begin"/>
    </w:r>
    <w:r>
      <w:rPr>
        <w:sz w:val="20"/>
        <w:szCs w:val="20"/>
        <w:rFonts w:ascii="Times New Roman" w:hAnsi="Times New Roman"/>
      </w:rPr>
      <w:instrText xml:space="preserve"> PAGE </w:instrText>
    </w:r>
    <w:r>
      <w:rPr>
        <w:sz w:val="20"/>
        <w:szCs w:val="20"/>
        <w:rFonts w:ascii="Times New Roman" w:hAnsi="Times New Roman"/>
      </w:rPr>
      <w:fldChar w:fldCharType="separate"/>
    </w:r>
    <w:r>
      <w:rPr>
        <w:sz w:val="20"/>
        <w:szCs w:val="20"/>
        <w:rFonts w:ascii="Times New Roman" w:hAnsi="Times New Roman"/>
      </w:rPr>
      <w:t>2</w:t>
    </w:r>
    <w:r>
      <w:rPr>
        <w:sz w:val="20"/>
        <w:szCs w:val="20"/>
        <w:rFonts w:ascii="Times New Roman" w:hAnsi="Times New Roman"/>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rFonts w:ascii="Times New Roman" w:hAnsi="Times New Roman"/>
        <w:color w:val="FF0000"/>
        <w:sz w:val="24"/>
        <w:szCs w:val="24"/>
      </w:rPr>
    </w:pPr>
    <w:r>
      <w:rPr>
        <w:rFonts w:ascii="Times New Roman" w:hAnsi="Times New Roman"/>
        <w:color w:val="FF0000"/>
        <w:sz w:val="24"/>
        <w:szCs w:val="24"/>
      </w:rPr>
      <w:t>SEE 2</w:t>
    </w:r>
    <w:r>
      <w:rPr>
        <w:rFonts w:ascii="Times New Roman" w:hAnsi="Times New Roman"/>
        <w:color w:val="FF0000"/>
        <w:sz w:val="24"/>
        <w:szCs w:val="24"/>
        <w:vertAlign w:val="superscript"/>
      </w:rPr>
      <w:t>ND</w:t>
    </w:r>
    <w:r>
      <w:rPr>
        <w:rFonts w:ascii="Times New Roman" w:hAnsi="Times New Roman"/>
        <w:color w:val="FF0000"/>
        <w:sz w:val="24"/>
        <w:szCs w:val="24"/>
      </w:rPr>
      <w:t xml:space="preserve"> PAGE FOR INSTRUCTIONS</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rFonts w:ascii="Times New Roman" w:hAnsi="Times New Roman"/>
        <w:color w:val="FF0000"/>
        <w:sz w:val="24"/>
        <w:szCs w:val="24"/>
      </w:rPr>
    </w:pPr>
    <w:r>
      <w:rPr>
        <w:rFonts w:ascii="Times New Roman" w:hAnsi="Times New Roman"/>
        <w:color w:val="FF0000"/>
        <w:sz w:val="24"/>
        <w:szCs w:val="24"/>
      </w:rPr>
      <w:t>SEE 2</w:t>
    </w:r>
    <w:r>
      <w:rPr>
        <w:rFonts w:ascii="Times New Roman" w:hAnsi="Times New Roman"/>
        <w:color w:val="FF0000"/>
        <w:sz w:val="24"/>
        <w:szCs w:val="24"/>
        <w:vertAlign w:val="superscript"/>
      </w:rPr>
      <w:t>ND</w:t>
    </w:r>
    <w:r>
      <w:rPr>
        <w:rFonts w:ascii="Times New Roman" w:hAnsi="Times New Roman"/>
        <w:color w:val="FF0000"/>
        <w:sz w:val="24"/>
        <w:szCs w:val="24"/>
      </w:rPr>
      <w:t xml:space="preserve"> PAGE FOR INSTRUCTIONS</w:t>
    </w:r>
  </w:p>
</w:hdr>
</file>

<file path=word/settings.xml><?xml version="1.0" encoding="utf-8"?>
<w:settings xmlns:w="http://schemas.openxmlformats.org/wordprocessingml/2006/main">
  <w:zoom w:percent="100"/>
  <w:defaultTabStop w:val="68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3ade"/>
    <w:pPr>
      <w:widowControl/>
      <w:suppressAutoHyphens w:val="true"/>
      <w:bidi w:val="0"/>
      <w:spacing w:lineRule="auto" w:line="276" w:before="0" w:after="200"/>
      <w:jc w:val="left"/>
    </w:pPr>
    <w:rPr>
      <w:rFonts w:ascii="Calibri" w:hAnsi="Calibri" w:eastAsia="SimSun" w:cs="Times New Roman"/>
      <w:color w:val="auto"/>
      <w:kern w:val="0"/>
      <w:sz w:val="22"/>
      <w:szCs w:val="22"/>
      <w:lang w:eastAsia="zh-CN" w:val="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semiHidden/>
    <w:qFormat/>
    <w:rsid w:val="00ff1f72"/>
    <w:rPr>
      <w:rFonts w:ascii="Times New Roman" w:hAnsi="Times New Roman" w:eastAsia="Times New Roman"/>
      <w:lang w:eastAsia="en-US"/>
    </w:rPr>
  </w:style>
  <w:style w:type="character" w:styleId="Hyperlink">
    <w:name w:val="Hyperlink"/>
    <w:basedOn w:val="DefaultParagraphFont"/>
    <w:uiPriority w:val="99"/>
    <w:unhideWhenUsed/>
    <w:rsid w:val="005f3630"/>
    <w:rPr>
      <w:color w:val="0000FF"/>
      <w:u w:val="single"/>
    </w:rPr>
  </w:style>
  <w:style w:type="character" w:styleId="HeaderChar" w:customStyle="1">
    <w:name w:val="Header Char"/>
    <w:basedOn w:val="DefaultParagraphFont"/>
    <w:link w:val="Header"/>
    <w:uiPriority w:val="99"/>
    <w:qFormat/>
    <w:rsid w:val="005f3630"/>
    <w:rPr>
      <w:sz w:val="22"/>
      <w:szCs w:val="22"/>
    </w:rPr>
  </w:style>
  <w:style w:type="character" w:styleId="FooterChar" w:customStyle="1">
    <w:name w:val="Footer Char"/>
    <w:basedOn w:val="DefaultParagraphFont"/>
    <w:link w:val="Footer"/>
    <w:uiPriority w:val="99"/>
    <w:qFormat/>
    <w:rsid w:val="005f3630"/>
    <w:rPr>
      <w:sz w:val="22"/>
      <w:szCs w:val="22"/>
    </w:rPr>
  </w:style>
  <w:style w:type="character" w:styleId="BalloonTextChar" w:customStyle="1">
    <w:name w:val="Balloon Text Char"/>
    <w:basedOn w:val="DefaultParagraphFont"/>
    <w:link w:val="BalloonText"/>
    <w:uiPriority w:val="99"/>
    <w:semiHidden/>
    <w:qFormat/>
    <w:rsid w:val="005f3630"/>
    <w:rPr>
      <w:rFonts w:ascii="Tahoma" w:hAnsi="Tahoma" w:cs="Tahoma"/>
      <w:sz w:val="16"/>
      <w:szCs w:val="16"/>
    </w:rPr>
  </w:style>
  <w:style w:type="character" w:styleId="UnresolvedMention">
    <w:name w:val="Unresolved Mention"/>
    <w:basedOn w:val="DefaultParagraphFont"/>
    <w:uiPriority w:val="99"/>
    <w:semiHidden/>
    <w:unhideWhenUsed/>
    <w:qFormat/>
    <w:rsid w:val="00ca1101"/>
    <w:rPr>
      <w:color w:val="605E5C"/>
      <w:shd w:fill="E1DFDD" w:val="clear"/>
    </w:rPr>
  </w:style>
  <w:style w:type="paragraph" w:styleId="Heading" w:customStyle="1">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link w:val="BodyTextChar"/>
    <w:semiHidden/>
    <w:rsid w:val="00ff1f72"/>
    <w:pPr>
      <w:spacing w:lineRule="auto" w:line="240" w:before="0" w:after="0"/>
      <w:jc w:val="both"/>
    </w:pPr>
    <w:rPr>
      <w:rFonts w:ascii="Times New Roman" w:hAnsi="Times New Roman" w:eastAsia="Times New Roman"/>
      <w:sz w:val="20"/>
      <w:szCs w:val="20"/>
      <w:lang w:eastAsia="en-US"/>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5f3630"/>
    <w:pPr>
      <w:tabs>
        <w:tab w:val="clear" w:pos="680"/>
        <w:tab w:val="center" w:pos="4680" w:leader="none"/>
        <w:tab w:val="right" w:pos="9360" w:leader="none"/>
      </w:tabs>
    </w:pPr>
    <w:rPr/>
  </w:style>
  <w:style w:type="paragraph" w:styleId="Footer">
    <w:name w:val="Footer"/>
    <w:basedOn w:val="Normal"/>
    <w:link w:val="FooterChar"/>
    <w:uiPriority w:val="99"/>
    <w:unhideWhenUsed/>
    <w:rsid w:val="005f3630"/>
    <w:pPr>
      <w:tabs>
        <w:tab w:val="clear" w:pos="680"/>
        <w:tab w:val="center" w:pos="4680" w:leader="none"/>
        <w:tab w:val="right" w:pos="9360" w:leader="none"/>
      </w:tabs>
    </w:pPr>
    <w:rPr/>
  </w:style>
  <w:style w:type="paragraph" w:styleId="BalloonText">
    <w:name w:val="Balloon Text"/>
    <w:basedOn w:val="Normal"/>
    <w:link w:val="BalloonTextChar"/>
    <w:uiPriority w:val="99"/>
    <w:semiHidden/>
    <w:unhideWhenUsed/>
    <w:qFormat/>
    <w:rsid w:val="005f363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athweb.aegean.gr/hsr2025/abstract1.php" TargetMode="External"/><Relationship Id="rId3" Type="http://schemas.openxmlformats.org/officeDocument/2006/relationships/hyperlink" Target="mailto:iwnet2025@aegean.gr"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LibreOffice/24.2.7.2$Linux_X86_64 LibreOffice_project/420$Build-2</Application>
  <AppVersion>15.0000</AppVersion>
  <Pages>2</Pages>
  <Words>569</Words>
  <Characters>3377</Characters>
  <CharactersWithSpaces>3923</CharactersWithSpaces>
  <Paragraphs>30</Paragraphs>
  <Company>Technische Universiteit Eindhoven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2024-11-02T17:47:00Z</dcterms:created>
  <dc:creator>markus</dc:creator>
  <dc:description/>
  <dc:language>el-GR</dc:language>
  <cp:lastModifiedBy>Nikos Papaloukas</cp:lastModifiedBy>
  <dcterms:modified xsi:type="dcterms:W3CDTF">2024-11-05T13:39:59Z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